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2B4FFE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 w:bidi="hi-IN"/>
          <w14:ligatures w14:val="none"/>
        </w:rPr>
      </w:pPr>
      <w:proofErr w:type="gramStart"/>
      <w:r w:rsidRPr="00A45E84"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  <w:t>М</w:t>
      </w:r>
      <w:r w:rsidRPr="00A45E84">
        <w:rPr>
          <w:rFonts w:ascii="Liberation Serif" w:eastAsia="NSimSun" w:hAnsi="Liberation Serif" w:cs="Lucida Sans"/>
          <w:noProof/>
          <w:sz w:val="24"/>
          <w:szCs w:val="24"/>
          <w:lang w:eastAsia="ru-RU"/>
          <w14:ligatures w14:val="none"/>
        </w:rPr>
        <w:drawing>
          <wp:anchor distT="0" distB="0" distL="0" distR="0" simplePos="0" relativeHeight="251659264" behindDoc="0" locked="0" layoutInCell="0" allowOverlap="1" wp14:anchorId="5A739C6C" wp14:editId="2044C2DD">
            <wp:simplePos x="0" y="0"/>
            <wp:positionH relativeFrom="column">
              <wp:posOffset>-180975</wp:posOffset>
            </wp:positionH>
            <wp:positionV relativeFrom="paragraph">
              <wp:posOffset>-65405</wp:posOffset>
            </wp:positionV>
            <wp:extent cx="1057275" cy="1057275"/>
            <wp:effectExtent l="0" t="0" r="0" b="0"/>
            <wp:wrapNone/>
            <wp:docPr id="1" name="Рисунок 3" descr="13279538415f894bbbc2be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13279538415f894bbbc2bec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45E84">
        <w:rPr>
          <w:rFonts w:ascii="Liberation Serif" w:eastAsia="NSimSun" w:hAnsi="Liberation Serif" w:cs="Lucida Sans"/>
          <w:noProof/>
          <w:sz w:val="24"/>
          <w:szCs w:val="24"/>
          <w:lang w:eastAsia="ru-RU"/>
          <w14:ligatures w14:val="none"/>
        </w:rPr>
        <w:drawing>
          <wp:anchor distT="0" distB="0" distL="0" distR="0" simplePos="0" relativeHeight="251660288" behindDoc="0" locked="0" layoutInCell="0" allowOverlap="1" wp14:anchorId="08F453C8" wp14:editId="203EDBAD">
            <wp:simplePos x="0" y="0"/>
            <wp:positionH relativeFrom="column">
              <wp:posOffset>4825365</wp:posOffset>
            </wp:positionH>
            <wp:positionV relativeFrom="paragraph">
              <wp:posOffset>-72390</wp:posOffset>
            </wp:positionV>
            <wp:extent cx="1066800" cy="1066800"/>
            <wp:effectExtent l="0" t="0" r="0" b="0"/>
            <wp:wrapNone/>
            <wp:docPr id="2" name="Рисунок 2" descr="D:\Данные пользователя\Desktop\Эмблема ИФиС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D:\Данные пользователя\Desktop\Эмблема ИФиСК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>ИНИСТЕРСТВО</w:t>
      </w:r>
      <w:proofErr w:type="gramEnd"/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 xml:space="preserve"> ПРОСВЕЩЕНИЯ </w:t>
      </w:r>
    </w:p>
    <w:p w14:paraId="0CA88909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>РОССИЙСКОЙ ФЕДЕРАЦИИ</w:t>
      </w:r>
    </w:p>
    <w:p w14:paraId="389DD5DE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zh-CN" w:bidi="hi-IN"/>
          <w14:ligatures w14:val="none"/>
        </w:rPr>
      </w:pPr>
    </w:p>
    <w:p w14:paraId="1A2276F3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  <w14:ligatures w14:val="none"/>
        </w:rPr>
      </w:pPr>
    </w:p>
    <w:p w14:paraId="3739FED3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 xml:space="preserve">ФЕДЕРАЛЬНОЕ </w:t>
      </w:r>
    </w:p>
    <w:p w14:paraId="46F1C77C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>ГОСУДАРСТВЕННОЕ БЮДЖЕТНОЕ</w:t>
      </w:r>
    </w:p>
    <w:p w14:paraId="447EA9ED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 xml:space="preserve"> ОБРАЗОВАТЕЛЬНОЕ УЧРЕЖДЕНИЕ ВЫСШЕГО ОБРАЗОВАНИЯ «ЛУГАНСКИЙ ГОСУДАРСТВЕННЫЙ ПЕДАГОГИЧЕСКИЙ УНИВЕРСИТЕТ»</w:t>
      </w:r>
    </w:p>
    <w:p w14:paraId="4A49C6AF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>(ФГБОУ ВО «ЛГПУ»)</w:t>
      </w:r>
    </w:p>
    <w:p w14:paraId="0B57FC66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</w:p>
    <w:p w14:paraId="497A79D8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  <w:t>ИНСТИТУТ ФИЛОЛОГИИ И СОЦИАЛЬНЫХ КОММУНИКАЦИЙ</w:t>
      </w:r>
    </w:p>
    <w:p w14:paraId="7AA1346C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</w:p>
    <w:p w14:paraId="15651517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Кафедра романо-германской филологии</w:t>
      </w:r>
    </w:p>
    <w:p w14:paraId="61E6BE96" w14:textId="77777777" w:rsidR="00A45E84" w:rsidRPr="00A45E84" w:rsidRDefault="00A45E84" w:rsidP="00A45E84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</w:p>
    <w:p w14:paraId="6C2A7946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>Уважаемые студенты!</w:t>
      </w:r>
    </w:p>
    <w:p w14:paraId="347B6B24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</w:pPr>
    </w:p>
    <w:p w14:paraId="7DCA0F87" w14:textId="53714385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>Приглашаем принять участие в ежегодном</w:t>
      </w:r>
      <w:r w:rsidRPr="00A45E84">
        <w:rPr>
          <w:rFonts w:ascii="Times New Roman" w:eastAsia="Times New Roman" w:hAnsi="Times New Roman" w:cs="Times New Roman"/>
          <w:sz w:val="28"/>
          <w:szCs w:val="28"/>
          <w:lang w:val="uk-UA"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Times New Roman" w:hAnsi="Times New Roman" w:cs="Times New Roman"/>
          <w:sz w:val="28"/>
          <w:szCs w:val="28"/>
          <w:lang w:val="uk-UA" w:eastAsia="zh-CN" w:bidi="hi-IN"/>
          <w14:ligatures w14:val="none"/>
        </w:rPr>
        <w:t>заседании</w:t>
      </w:r>
      <w:proofErr w:type="spellEnd"/>
      <w:r w:rsidRPr="00A45E84">
        <w:rPr>
          <w:rFonts w:ascii="Times New Roman" w:eastAsia="Times New Roman" w:hAnsi="Times New Roman" w:cs="Times New Roman"/>
          <w:sz w:val="28"/>
          <w:szCs w:val="28"/>
          <w:lang w:val="uk-UA"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Times New Roman" w:hAnsi="Times New Roman" w:cs="Times New Roman"/>
          <w:sz w:val="28"/>
          <w:szCs w:val="28"/>
          <w:lang w:val="uk-UA" w:eastAsia="zh-CN" w:bidi="hi-IN"/>
          <w14:ligatures w14:val="none"/>
        </w:rPr>
        <w:t>Открытого</w:t>
      </w:r>
      <w:proofErr w:type="spellEnd"/>
      <w:r w:rsidRPr="00A45E84">
        <w:rPr>
          <w:rFonts w:ascii="Times New Roman" w:eastAsia="Times New Roman" w:hAnsi="Times New Roman" w:cs="Times New Roman"/>
          <w:sz w:val="28"/>
          <w:szCs w:val="28"/>
          <w:lang w:val="uk-UA"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Times New Roman" w:hAnsi="Times New Roman" w:cs="Times New Roman"/>
          <w:sz w:val="28"/>
          <w:szCs w:val="28"/>
          <w:lang w:val="uk-UA" w:eastAsia="zh-CN" w:bidi="hi-IN"/>
          <w14:ligatures w14:val="none"/>
        </w:rPr>
        <w:t>студенческого</w:t>
      </w:r>
      <w:proofErr w:type="spellEnd"/>
      <w:r w:rsidRPr="00A45E84">
        <w:rPr>
          <w:rFonts w:ascii="Times New Roman" w:eastAsia="Times New Roman" w:hAnsi="Times New Roman" w:cs="Times New Roman"/>
          <w:sz w:val="28"/>
          <w:szCs w:val="28"/>
          <w:lang w:val="uk-UA" w:eastAsia="zh-CN" w:bidi="hi-IN"/>
          <w14:ligatures w14:val="none"/>
        </w:rPr>
        <w:t xml:space="preserve"> круглого стола</w:t>
      </w: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 xml:space="preserve"> </w:t>
      </w: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t>«ФИЛОЛОГИЧЕСКИЕ СТУДИИ: ГЕРМАНСКИЕ И РОМАНСКИЕ ЯЗЫКИ</w:t>
      </w:r>
      <w:r w:rsidRPr="00A45E84">
        <w:rPr>
          <w:rFonts w:ascii="Times New Roman" w:eastAsia="Times New Roman" w:hAnsi="Times New Roman" w:cs="Times New Roman"/>
          <w:b/>
          <w:i/>
          <w:sz w:val="28"/>
          <w:szCs w:val="28"/>
          <w:lang w:eastAsia="zh-CN" w:bidi="hi-IN"/>
          <w14:ligatures w14:val="none"/>
        </w:rPr>
        <w:t>»</w:t>
      </w:r>
      <w:r w:rsidRPr="00A45E84">
        <w:rPr>
          <w:rFonts w:ascii="Times New Roman" w:eastAsia="Times New Roman" w:hAnsi="Times New Roman" w:cs="Times New Roman"/>
          <w:b/>
          <w:i/>
          <w:sz w:val="24"/>
          <w:szCs w:val="24"/>
          <w:lang w:eastAsia="zh-CN" w:bidi="hi-IN"/>
          <w14:ligatures w14:val="none"/>
        </w:rPr>
        <w:t>,</w:t>
      </w:r>
      <w:r w:rsidRPr="00A45E84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  <w14:ligatures w14:val="none"/>
        </w:rPr>
        <w:t xml:space="preserve"> </w:t>
      </w:r>
      <w:proofErr w:type="gramStart"/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>которое</w:t>
      </w:r>
      <w:proofErr w:type="gramEnd"/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 xml:space="preserve"> состоится 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zh-CN" w:bidi="hi-IN"/>
          <w14:ligatures w14:val="none"/>
        </w:rPr>
        <w:t>8</w:t>
      </w:r>
      <w:r w:rsidRPr="00A45E84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zh-CN" w:bidi="hi-IN"/>
          <w14:ligatures w14:val="none"/>
        </w:rPr>
        <w:t> </w:t>
      </w:r>
      <w:r w:rsidRPr="00A45E84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zh-CN" w:bidi="hi-IN"/>
          <w14:ligatures w14:val="none"/>
        </w:rPr>
        <w:t>апреля 202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zh-CN" w:bidi="hi-IN"/>
          <w14:ligatures w14:val="none"/>
        </w:rPr>
        <w:t>5</w:t>
      </w:r>
      <w:r w:rsidRPr="00A45E84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zh-CN" w:bidi="hi-IN"/>
          <w14:ligatures w14:val="none"/>
        </w:rPr>
        <w:t> г.</w:t>
      </w: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 xml:space="preserve"> </w:t>
      </w:r>
    </w:p>
    <w:p w14:paraId="4BC2AAE0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Целью данного мероприятия является подведение итогов работы студенческого научного кружка «Филологические студии» за год, углубление филологических знаний студентов о современных тенденциях в изучении языка, знакомство с мировыми и отечественными достижениями филологической науки, а также приобщение студентов к научной деятельности. </w:t>
      </w:r>
    </w:p>
    <w:p w14:paraId="06221E88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>В работе «Филологических студий» предусматриваются следующие тематические направления:</w:t>
      </w:r>
    </w:p>
    <w:p w14:paraId="65FA0200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>- актуальные вопросы германской и романской филологии;</w:t>
      </w:r>
    </w:p>
    <w:p w14:paraId="432B957D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 xml:space="preserve">- исследование литературного процесса;  </w:t>
      </w:r>
    </w:p>
    <w:p w14:paraId="7A12ADEE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>- межкультурная коммуникация;</w:t>
      </w:r>
    </w:p>
    <w:p w14:paraId="39A77547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 xml:space="preserve">- проблемы </w:t>
      </w:r>
      <w:proofErr w:type="gramStart"/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>современного</w:t>
      </w:r>
      <w:proofErr w:type="gramEnd"/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>переводоведения</w:t>
      </w:r>
      <w:proofErr w:type="spellEnd"/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 xml:space="preserve">; </w:t>
      </w:r>
    </w:p>
    <w:p w14:paraId="684AFB55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>- новейшие технологии преподавания иностранных языков;</w:t>
      </w:r>
    </w:p>
    <w:p w14:paraId="1F98E437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i/>
          <w:sz w:val="28"/>
          <w:szCs w:val="28"/>
          <w:lang w:eastAsia="zh-CN" w:bidi="hi-IN"/>
          <w14:ligatures w14:val="none"/>
        </w:rPr>
        <w:t xml:space="preserve">- компаративная лингвистика. </w:t>
      </w:r>
    </w:p>
    <w:p w14:paraId="4777E0E1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 xml:space="preserve">Для участия в «Филологических студиях» приглашаются студенты направлений подготовки Филология. Зарубежная филология. Немецкий / Французский / Испанский язык и </w:t>
      </w:r>
      <w:r w:rsidRPr="00A45E84">
        <w:rPr>
          <w:rFonts w:ascii="Times New Roman" w:eastAsia="Times New Roman" w:hAnsi="Times New Roman" w:cs="Times New Roman"/>
          <w:bCs/>
          <w:sz w:val="28"/>
          <w:szCs w:val="28"/>
          <w:lang w:eastAsia="zh-CN" w:bidi="hi-IN"/>
          <w14:ligatures w14:val="none"/>
        </w:rPr>
        <w:t>второй иностранный язык (английский).</w:t>
      </w:r>
    </w:p>
    <w:p w14:paraId="5CFAFBD7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zh-CN" w:bidi="hi-IN"/>
          <w14:ligatures w14:val="none"/>
        </w:rPr>
        <w:t>Рабочие языки заседания</w:t>
      </w:r>
      <w:r w:rsidRPr="00A45E84">
        <w:rPr>
          <w:rFonts w:ascii="Times New Roman" w:eastAsia="Times New Roman" w:hAnsi="Times New Roman" w:cs="Times New Roman"/>
          <w:color w:val="000000"/>
          <w:sz w:val="28"/>
          <w:szCs w:val="28"/>
          <w:lang w:eastAsia="zh-CN" w:bidi="hi-IN"/>
          <w14:ligatures w14:val="none"/>
        </w:rPr>
        <w:t xml:space="preserve">: </w:t>
      </w:r>
      <w:r w:rsidRPr="00A45E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 w:bidi="hi-IN"/>
          <w14:ligatures w14:val="none"/>
        </w:rPr>
        <w:t>русский, немецкий, французский, испанский.</w:t>
      </w:r>
    </w:p>
    <w:p w14:paraId="239C5AB9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 xml:space="preserve"> </w:t>
      </w: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ab/>
      </w:r>
      <w:r w:rsidRPr="00A45E84">
        <w:rPr>
          <w:rFonts w:ascii="Times New Roman" w:eastAsia="Times New Roman" w:hAnsi="Times New Roman" w:cs="Times New Roman"/>
          <w:sz w:val="28"/>
          <w:szCs w:val="28"/>
          <w:u w:val="single"/>
          <w:lang w:eastAsia="zh-CN" w:bidi="hi-IN"/>
          <w14:ligatures w14:val="none"/>
        </w:rPr>
        <w:t>Форма участия:</w:t>
      </w: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 xml:space="preserve"> очная.</w:t>
      </w:r>
      <w:r w:rsidRPr="00A45E84"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  <w:tab/>
      </w:r>
    </w:p>
    <w:p w14:paraId="40512919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Статьи будут опубликованы в сборнике материалов конференции. </w:t>
      </w:r>
    </w:p>
    <w:p w14:paraId="04A27F46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Calibri" w:eastAsia="Calibri" w:hAnsi="Calibri" w:cs="Times New Roman"/>
          <w:bCs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ab/>
      </w:r>
      <w:proofErr w:type="gramStart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>Для участия в конференции необходимо прислать на адрес оргкомитета статью (название файла – фамилия с инициалами и слово «Статья», например:</w:t>
      </w:r>
      <w:proofErr w:type="gramEnd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 xml:space="preserve"> </w:t>
      </w:r>
      <w:proofErr w:type="gramStart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>Петров П.П. Статья).</w:t>
      </w:r>
      <w:r w:rsidRPr="00A45E84">
        <w:rPr>
          <w:rFonts w:ascii="Liberation Serif" w:eastAsia="Calibri" w:hAnsi="Liberation Serif" w:cs="Times New Roman"/>
          <w:bCs/>
          <w:sz w:val="28"/>
          <w:szCs w:val="28"/>
          <w:lang w:eastAsia="zh-CN" w:bidi="hi-IN"/>
          <w14:ligatures w14:val="none"/>
        </w:rPr>
        <w:tab/>
      </w:r>
      <w:proofErr w:type="gramEnd"/>
    </w:p>
    <w:p w14:paraId="68F95614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</w:pPr>
    </w:p>
    <w:p w14:paraId="40681934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</w:pPr>
    </w:p>
    <w:p w14:paraId="749BB4DB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sz w:val="28"/>
          <w:szCs w:val="28"/>
          <w:lang w:eastAsia="zh-CN" w:bidi="hi-IN"/>
          <w14:ligatures w14:val="none"/>
        </w:rPr>
        <w:lastRenderedPageBreak/>
        <w:t>ТРЕБОВАНИЯ К ОФОРМЛЕНИЮ ДОКЛАДОВ</w:t>
      </w:r>
    </w:p>
    <w:p w14:paraId="14763504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Название статьи печатается через строку прописными буквами (шрифт полужирный).</w:t>
      </w:r>
    </w:p>
    <w:p w14:paraId="15DC8CE2" w14:textId="7568D82C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Оргкомитет принимает статьи объёмом </w:t>
      </w:r>
      <w:r w:rsidRPr="00A45E84"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  <w:t>3 страницы</w:t>
      </w: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 в электронном виде.  Текст статьи: </w:t>
      </w: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ab/>
      </w: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br/>
        <w:t>- формат А</w:t>
      </w:r>
      <w:proofErr w:type="gramStart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4</w:t>
      </w:r>
      <w:proofErr w:type="gramEnd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, </w:t>
      </w:r>
      <w:proofErr w:type="spellStart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Microsoft</w:t>
      </w:r>
      <w:proofErr w:type="spellEnd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Word</w:t>
      </w:r>
      <w:proofErr w:type="spellEnd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 (.</w:t>
      </w:r>
      <w:proofErr w:type="spellStart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doc</w:t>
      </w:r>
      <w:proofErr w:type="spellEnd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) через 1 интервал, 12 кегль (</w:t>
      </w:r>
      <w:proofErr w:type="spellStart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Times</w:t>
      </w:r>
      <w:proofErr w:type="spellEnd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New</w:t>
      </w:r>
      <w:proofErr w:type="spellEnd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Roman</w:t>
      </w:r>
      <w:proofErr w:type="spellEnd"/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);</w:t>
      </w: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br/>
        <w:t>- поля: верхнее − 2 см, нижнее − 2 см, правое − 1,5 см,   левое − 3 см, ), отступ абзаца – 1,25, страницы не нумеруются;</w:t>
      </w: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ab/>
      </w: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br/>
        <w:t>- при наборе текста различать длину дефиса (-) и тире (−), кавычки «».</w:t>
      </w: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ab/>
        <w:t xml:space="preserve">    </w:t>
      </w:r>
    </w:p>
    <w:p w14:paraId="491576F1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Информация об УДК размещается в верхнем левом углу без отступа (шрифт нежирный).</w:t>
      </w:r>
    </w:p>
    <w:p w14:paraId="5780E845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Инициалы и фамилия автора указывается в левом верхнем углу (через строчку от УДК) с отступом 1,5 см, шрифт полужирный.</w:t>
      </w:r>
    </w:p>
    <w:p w14:paraId="075B8E6A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Название статьи печатается через строку прописными буквами (шрифт полужирный). Примеры выделять курсивом.</w:t>
      </w:r>
    </w:p>
    <w:p w14:paraId="5E7328D6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Содержание статьи излагается по плану: постановка проблемы в общем виде и её связь с важными научными или практическими задачами; анализ последних исследований и публикаций по данной теме; изложение основного материала исследования с определённым обоснованием полученных научных результатов; выводы этого исследования и перспективы дальнейших изучений в этом направлении.</w:t>
      </w:r>
    </w:p>
    <w:p w14:paraId="02F279A8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Все перечисленные элементы должны быть представлены в тексте, но графически их не нужно выделять.</w:t>
      </w:r>
    </w:p>
    <w:p w14:paraId="2B31C254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t>Ссылки на цитированные источники приводятся в квадратных скобках после цитаты. Первая цифра – номер источника в списке литературы, который прилагается к статье, вторая – номер страницы, например: [1, с. 21] или [1, с. 21; 2, с. 13 – 14].</w:t>
      </w:r>
    </w:p>
    <w:p w14:paraId="2EF8CF02" w14:textId="77777777" w:rsidR="00A45E84" w:rsidRPr="00A45E84" w:rsidRDefault="00A45E84" w:rsidP="00A45E84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Times New Roman"/>
          <w:sz w:val="28"/>
          <w:szCs w:val="28"/>
          <w:lang w:eastAsia="zh-CN" w:bidi="hi-IN"/>
          <w14:ligatures w14:val="none"/>
        </w:rPr>
        <w:t>Библиография приводится в конце статьи после слова «Литература» (без двоеточия) и оформляется в алфавитном порядке согласно общепринятым библиографическим требованиям. Библиографические источники выделяются абзацем; имя автора труда (или первое слово его названия) выделяется жирным шрифтом. Ссылка на правила оформления библиографических источников:</w:t>
      </w:r>
      <w:r w:rsidRPr="00A45E84">
        <w:rPr>
          <w:rFonts w:ascii="Times New Roman" w:eastAsia="NSimSun" w:hAnsi="Times New Roman" w:cs="Times New Roman"/>
          <w:sz w:val="28"/>
          <w:szCs w:val="28"/>
          <w:lang w:eastAsia="zh-CN" w:bidi="hi-IN"/>
          <w14:ligatures w14:val="none"/>
        </w:rPr>
        <w:tab/>
      </w:r>
    </w:p>
    <w:p w14:paraId="1A2A5CF1" w14:textId="77777777" w:rsidR="00A45E84" w:rsidRPr="00A45E84" w:rsidRDefault="00F73E58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Liberation Serif" w:eastAsia="NSimSun" w:hAnsi="Liberation Serif" w:cs="Lucida Sans" w:hint="eastAsia"/>
          <w:sz w:val="28"/>
          <w:szCs w:val="28"/>
          <w:lang w:eastAsia="zh-CN" w:bidi="hi-IN"/>
          <w14:ligatures w14:val="none"/>
        </w:rPr>
      </w:pPr>
      <w:hyperlink r:id="rId7" w:tgtFrame="_blank" w:history="1">
        <w:r w:rsidR="00A45E84" w:rsidRPr="00A45E84">
          <w:rPr>
            <w:rFonts w:ascii="Liberation Serif" w:eastAsia="NSimSun" w:hAnsi="Liberation Serif" w:cs="Lucida Sans"/>
            <w:color w:val="0000FF"/>
            <w:sz w:val="28"/>
            <w:szCs w:val="28"/>
            <w:u w:val="single"/>
            <w:shd w:val="clear" w:color="auto" w:fill="FFFFFF"/>
            <w:lang w:eastAsia="zh-CN" w:bidi="hi-IN"/>
            <w14:ligatures w14:val="none"/>
          </w:rPr>
          <w:t>https://lib.lgpu.org/download/BO.pdf</w:t>
        </w:r>
      </w:hyperlink>
    </w:p>
    <w:p w14:paraId="663C3B87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</w:p>
    <w:p w14:paraId="2FC489CD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  <w:t xml:space="preserve">В конце статьи после списка использованных источников размещается аннотация на русском языке (3-4 предложения). В ней необходимо указать Ф.И.О. автора, название статьи, ключевые слова (4-6 терминов). </w:t>
      </w:r>
      <w:r w:rsidRPr="00A45E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  <w:tab/>
      </w:r>
    </w:p>
    <w:p w14:paraId="21E75C8F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  <w:t>Оргкомитет оставляет за собой право отбора и редактирования материалов, а также право отказать автору в публикации статьи, которая не соответствует редакционным требованиям.</w:t>
      </w:r>
      <w:r w:rsidRPr="00A45E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  <w:tab/>
      </w:r>
    </w:p>
    <w:p w14:paraId="43D6A0AE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  <w:t xml:space="preserve">В приложении Вы найдете примеры оформления материалов. </w:t>
      </w:r>
    </w:p>
    <w:p w14:paraId="1BDF1F09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Calibri" w:eastAsia="Calibri" w:hAnsi="Calibri" w:cs="Times New Roman"/>
          <w:bCs/>
          <w:sz w:val="28"/>
          <w:szCs w:val="28"/>
          <w:lang w:eastAsia="zh-CN" w:bidi="hi-IN"/>
          <w14:ligatures w14:val="none"/>
        </w:rPr>
      </w:pPr>
    </w:p>
    <w:p w14:paraId="59B65E5B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</w:pPr>
    </w:p>
    <w:p w14:paraId="444EAAD7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</w:pPr>
    </w:p>
    <w:p w14:paraId="18FCD585" w14:textId="282C3E24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lastRenderedPageBreak/>
        <w:t>Статьи принимаются до 1 марта 202</w:t>
      </w:r>
      <w:r w:rsidR="006B1FEF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>5</w:t>
      </w:r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 xml:space="preserve"> года по электронному адресу: </w:t>
      </w:r>
      <w:hyperlink r:id="rId8">
        <w:r w:rsidRPr="00A45E84">
          <w:rPr>
            <w:rFonts w:ascii="Times New Roman" w:eastAsia="NSimSun" w:hAnsi="Times New Roman" w:cs="Times New Roman"/>
            <w:color w:val="000080"/>
            <w:sz w:val="28"/>
            <w:szCs w:val="28"/>
            <w:u w:val="single"/>
            <w:lang w:eastAsia="zh-CN" w:bidi="hi-IN"/>
            <w14:ligatures w14:val="none"/>
          </w:rPr>
          <w:t>kaf_rgf@bk.ru</w:t>
        </w:r>
      </w:hyperlink>
      <w:r w:rsidRPr="00A45E84">
        <w:rPr>
          <w:rFonts w:ascii="Times New Roman" w:eastAsia="NSimSun" w:hAnsi="Times New Roman" w:cs="Times New Roman"/>
          <w:sz w:val="28"/>
          <w:szCs w:val="28"/>
          <w:lang w:eastAsia="zh-CN" w:bidi="hi-IN"/>
          <w14:ligatures w14:val="none"/>
        </w:rPr>
        <w:t>. А</w:t>
      </w:r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 xml:space="preserve">дрес оргкомитета: </w:t>
      </w:r>
    </w:p>
    <w:p w14:paraId="369819DF" w14:textId="7A1A7B2D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</w:pPr>
      <w:proofErr w:type="gramStart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>г. Луганск, ул. Оборонная, 2, 1 корпус, 4 этаж, ауд. 1-404 (кафедра романо-германской филологии).</w:t>
      </w:r>
      <w:proofErr w:type="gramEnd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 xml:space="preserve"> Контактный телефон: +7959</w:t>
      </w:r>
      <w:bookmarkStart w:id="0" w:name="_GoBack1"/>
      <w:bookmarkEnd w:id="0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 xml:space="preserve">1543358 </w:t>
      </w:r>
      <w:proofErr w:type="spellStart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>Хадаева</w:t>
      </w:r>
      <w:proofErr w:type="spellEnd"/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 xml:space="preserve"> Ал</w:t>
      </w:r>
      <w:r w:rsidR="006B1FEF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>е</w:t>
      </w:r>
      <w:r w:rsidRPr="00A45E84"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  <w:t>на Юрьевна.</w:t>
      </w:r>
    </w:p>
    <w:p w14:paraId="266B0396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zh-CN" w:bidi="hi-IN"/>
          <w14:ligatures w14:val="none"/>
        </w:rPr>
      </w:pPr>
      <w:bookmarkStart w:id="1" w:name="_GoBack"/>
      <w:bookmarkEnd w:id="1"/>
    </w:p>
    <w:p w14:paraId="72756004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Liberation Serif" w:eastAsia="Calibri" w:hAnsi="Liberation Serif" w:cs="Times New Roman"/>
          <w:bCs/>
          <w:sz w:val="28"/>
          <w:szCs w:val="28"/>
          <w:lang w:eastAsia="zh-CN" w:bidi="hi-IN"/>
          <w14:ligatures w14:val="none"/>
        </w:rPr>
        <w:br/>
      </w:r>
    </w:p>
    <w:p w14:paraId="1BF16115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  <w:t xml:space="preserve"> </w:t>
      </w:r>
    </w:p>
    <w:p w14:paraId="16261E33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hi-IN"/>
          <w14:ligatures w14:val="none"/>
        </w:rPr>
      </w:pPr>
    </w:p>
    <w:p w14:paraId="4F614D83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hi-IN"/>
          <w14:ligatures w14:val="none"/>
        </w:rPr>
      </w:pPr>
    </w:p>
    <w:p w14:paraId="62E78343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hi-IN"/>
          <w14:ligatures w14:val="none"/>
        </w:rPr>
      </w:pPr>
    </w:p>
    <w:p w14:paraId="66A39806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  <w:t>Надеемся на плодотворное сотрудничество!</w:t>
      </w:r>
    </w:p>
    <w:p w14:paraId="2D0C1398" w14:textId="77777777" w:rsidR="00A45E84" w:rsidRPr="00A45E84" w:rsidRDefault="00A45E84" w:rsidP="00A45E84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  <w:br w:type="page"/>
      </w:r>
    </w:p>
    <w:p w14:paraId="435879E5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  <w:lastRenderedPageBreak/>
        <w:t>Приложение</w:t>
      </w:r>
    </w:p>
    <w:p w14:paraId="34493191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 w:bidi="hi-IN"/>
          <w14:ligatures w14:val="none"/>
        </w:rPr>
      </w:pPr>
    </w:p>
    <w:p w14:paraId="76FF4650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sz w:val="28"/>
          <w:szCs w:val="28"/>
          <w:u w:val="single"/>
          <w:lang w:eastAsia="zh-CN" w:bidi="hi-IN"/>
          <w14:ligatures w14:val="none"/>
        </w:rPr>
        <w:t xml:space="preserve">Пример оформления статьи </w:t>
      </w:r>
    </w:p>
    <w:p w14:paraId="3A396592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zh-CN" w:bidi="hi-IN"/>
          <w14:ligatures w14:val="none"/>
        </w:rPr>
      </w:pPr>
    </w:p>
    <w:p w14:paraId="46FA6B47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sz w:val="24"/>
          <w:szCs w:val="24"/>
          <w:lang w:eastAsia="zh-CN" w:bidi="hi-IN"/>
          <w14:ligatures w14:val="none"/>
        </w:rPr>
        <w:t>УДК</w:t>
      </w:r>
    </w:p>
    <w:p w14:paraId="0FF26973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zh-CN" w:bidi="hi-IN"/>
          <w14:ligatures w14:val="none"/>
        </w:rPr>
      </w:pPr>
    </w:p>
    <w:p w14:paraId="61C40E68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bCs/>
          <w:sz w:val="24"/>
          <w:szCs w:val="24"/>
          <w:lang w:eastAsia="zh-CN" w:bidi="hi-IN"/>
          <w14:ligatures w14:val="none"/>
        </w:rPr>
        <w:t xml:space="preserve"> </w:t>
      </w:r>
      <w:r w:rsidRPr="00A45E84">
        <w:rPr>
          <w:rFonts w:ascii="Times New Roman" w:eastAsia="Calibri" w:hAnsi="Times New Roman" w:cs="Times New Roman"/>
          <w:b/>
          <w:bCs/>
          <w:sz w:val="24"/>
          <w:szCs w:val="24"/>
          <w:lang w:eastAsia="zh-CN" w:bidi="hi-IN"/>
          <w14:ligatures w14:val="none"/>
        </w:rPr>
        <w:tab/>
        <w:t>Иванова Т.П.</w:t>
      </w:r>
    </w:p>
    <w:p w14:paraId="39699D60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zh-CN" w:bidi="hi-IN"/>
          <w14:ligatures w14:val="none"/>
        </w:rPr>
      </w:pPr>
    </w:p>
    <w:p w14:paraId="23C72D70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hi-IN"/>
          <w14:ligatures w14:val="none"/>
        </w:rPr>
        <w:t>ПРОБЛЕМЫ ПЕРЕВОДА ТЕХНИЧЕСКИХ ТЕКСТОВ КОМПЬЮТЕРНОЙ ТЕМАТИКИ</w:t>
      </w:r>
    </w:p>
    <w:p w14:paraId="2B26F90E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hi-IN"/>
          <w14:ligatures w14:val="none"/>
        </w:rPr>
      </w:pPr>
    </w:p>
    <w:p w14:paraId="112D5FFC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>Те</w:t>
      </w:r>
      <w:proofErr w:type="gramStart"/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>кст  ст</w:t>
      </w:r>
      <w:proofErr w:type="gramEnd"/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>атьи</w:t>
      </w:r>
    </w:p>
    <w:p w14:paraId="14C80E7B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zh-CN" w:bidi="hi-IN"/>
          <w14:ligatures w14:val="none"/>
        </w:rPr>
      </w:pPr>
    </w:p>
    <w:p w14:paraId="59E0468B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zh-CN" w:bidi="hi-IN"/>
          <w14:ligatures w14:val="none"/>
        </w:rPr>
      </w:pPr>
    </w:p>
    <w:p w14:paraId="0BFF35BD" w14:textId="77777777" w:rsidR="00A45E84" w:rsidRPr="00A45E84" w:rsidRDefault="00A45E84" w:rsidP="00A45E84">
      <w:pPr>
        <w:tabs>
          <w:tab w:val="left" w:pos="425"/>
        </w:tabs>
        <w:suppressAutoHyphens/>
        <w:spacing w:after="0" w:line="240" w:lineRule="auto"/>
        <w:ind w:left="-142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sz w:val="24"/>
          <w:szCs w:val="24"/>
          <w:lang w:eastAsia="zh-CN" w:bidi="hi-IN"/>
          <w14:ligatures w14:val="none"/>
        </w:rPr>
        <w:br/>
      </w:r>
      <w:r w:rsidRPr="00A45E84">
        <w:rPr>
          <w:rFonts w:ascii="Times New Roman" w:eastAsia="Calibri" w:hAnsi="Times New Roman" w:cs="Times New Roman"/>
          <w:b/>
          <w:sz w:val="24"/>
          <w:szCs w:val="24"/>
          <w:u w:val="single"/>
          <w:lang w:eastAsia="zh-CN" w:bidi="hi-IN"/>
          <w14:ligatures w14:val="none"/>
        </w:rPr>
        <w:t>Пример оформления библиографии:</w:t>
      </w:r>
    </w:p>
    <w:p w14:paraId="58BD5512" w14:textId="77777777" w:rsidR="00A45E84" w:rsidRPr="00A45E84" w:rsidRDefault="00A45E84" w:rsidP="00A45E84">
      <w:pPr>
        <w:tabs>
          <w:tab w:val="left" w:pos="425"/>
        </w:tabs>
        <w:suppressAutoHyphens/>
        <w:spacing w:after="0" w:line="240" w:lineRule="auto"/>
        <w:ind w:left="-142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zh-CN" w:bidi="hi-IN"/>
          <w14:ligatures w14:val="none"/>
        </w:rPr>
      </w:pPr>
    </w:p>
    <w:p w14:paraId="72758354" w14:textId="77777777" w:rsidR="00A45E84" w:rsidRPr="00A45E84" w:rsidRDefault="00A45E84" w:rsidP="00A45E84">
      <w:pPr>
        <w:tabs>
          <w:tab w:val="left" w:pos="425"/>
        </w:tabs>
        <w:suppressAutoHyphens/>
        <w:spacing w:after="0" w:line="240" w:lineRule="auto"/>
        <w:ind w:left="-142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sz w:val="24"/>
          <w:szCs w:val="24"/>
          <w:lang w:eastAsia="zh-CN" w:bidi="hi-IN"/>
          <w14:ligatures w14:val="none"/>
        </w:rPr>
        <w:t>Литература</w:t>
      </w:r>
    </w:p>
    <w:p w14:paraId="213C2E05" w14:textId="77777777" w:rsidR="00A45E84" w:rsidRPr="00A45E84" w:rsidRDefault="00A45E84" w:rsidP="00A45E84">
      <w:pPr>
        <w:shd w:val="clear" w:color="auto" w:fill="FFFFFF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  <w14:ligatures w14:val="none"/>
        </w:rPr>
        <w:t>1. Вебер, М.</w:t>
      </w:r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Избранные произведения / М. Вебер. – Москва</w:t>
      </w:r>
      <w:proofErr w:type="gramStart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 :</w:t>
      </w:r>
      <w:proofErr w:type="gramEnd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Прогресс, 1990. – 808 с.</w:t>
      </w:r>
    </w:p>
    <w:p w14:paraId="62ADB10A" w14:textId="77777777" w:rsidR="006B1FEF" w:rsidRDefault="00A45E84" w:rsidP="006B1FEF">
      <w:pPr>
        <w:shd w:val="clear" w:color="auto" w:fill="FFFFFF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  <w14:ligatures w14:val="none"/>
        </w:rPr>
        <w:t>2. Маковский, М. М.</w:t>
      </w:r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Сравнительный словарь мифологической символики в индоевропейских языках</w:t>
      </w:r>
      <w:proofErr w:type="gramStart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 :</w:t>
      </w:r>
      <w:proofErr w:type="gramEnd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Образы мира и миры образов / М. М. Маковский. – Москва</w:t>
      </w:r>
      <w:proofErr w:type="gramStart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 :</w:t>
      </w:r>
      <w:proofErr w:type="gramEnd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ВЛАДОС, 1996. – 416</w:t>
      </w:r>
      <w:r w:rsidRPr="00A45E84">
        <w:rPr>
          <w:rFonts w:ascii="Times New Roman" w:eastAsia="Times New Roman" w:hAnsi="Times New Roman" w:cs="Times New Roman"/>
          <w:bCs/>
          <w:sz w:val="24"/>
          <w:szCs w:val="24"/>
          <w:lang w:val="en-GB" w:eastAsia="ru-RU"/>
          <w14:ligatures w14:val="none"/>
        </w:rPr>
        <w:t> </w:t>
      </w:r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с. </w:t>
      </w:r>
    </w:p>
    <w:p w14:paraId="4939D1C7" w14:textId="0EEAD9AE" w:rsidR="00A45E84" w:rsidRPr="00A45E84" w:rsidRDefault="00A45E84" w:rsidP="006B1FEF">
      <w:pPr>
        <w:shd w:val="clear" w:color="auto" w:fill="FFFFFF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  <w14:ligatures w14:val="none"/>
        </w:rPr>
        <w:t>3. Иванова, С. В.</w:t>
      </w:r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Политический медиа-дискурс в фокусе </w:t>
      </w:r>
      <w:proofErr w:type="spellStart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лингвокультурологии</w:t>
      </w:r>
      <w:proofErr w:type="spellEnd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 / С. В. Иванова // Политическая лингвистика. – Екатеринбург, 2008. – С. 29–33.</w:t>
      </w:r>
    </w:p>
    <w:p w14:paraId="4A318AE5" w14:textId="77777777" w:rsidR="00A45E84" w:rsidRPr="00A45E84" w:rsidRDefault="00A45E84" w:rsidP="00A45E84">
      <w:pPr>
        <w:shd w:val="clear" w:color="auto" w:fill="FFFFFF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  <w14:ligatures w14:val="none"/>
        </w:rPr>
        <w:t>4. </w:t>
      </w:r>
      <w:proofErr w:type="spellStart"/>
      <w:r w:rsidRPr="00A45E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  <w14:ligatures w14:val="none"/>
        </w:rPr>
        <w:t>Ильинова</w:t>
      </w:r>
      <w:proofErr w:type="spellEnd"/>
      <w:r w:rsidRPr="00A45E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  <w14:ligatures w14:val="none"/>
        </w:rPr>
        <w:t>, Е. Ю.</w:t>
      </w:r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К проблеме мониторинга масс-</w:t>
      </w:r>
      <w:proofErr w:type="spellStart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медийного</w:t>
      </w:r>
      <w:proofErr w:type="spellEnd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пространства региона / Е. Ю. </w:t>
      </w:r>
      <w:proofErr w:type="spellStart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Ильинова</w:t>
      </w:r>
      <w:proofErr w:type="spellEnd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 // Актуальные проблемы коммуникации и культуры</w:t>
      </w:r>
      <w:proofErr w:type="gramStart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> :</w:t>
      </w:r>
      <w:proofErr w:type="gramEnd"/>
      <w:r w:rsidRPr="00A45E84">
        <w:rPr>
          <w:rFonts w:ascii="Times New Roman" w:eastAsia="Times New Roman" w:hAnsi="Times New Roman" w:cs="Times New Roman"/>
          <w:bCs/>
          <w:sz w:val="24"/>
          <w:szCs w:val="24"/>
          <w:lang w:eastAsia="ru-RU"/>
          <w14:ligatures w14:val="none"/>
        </w:rPr>
        <w:t xml:space="preserve"> международный сборник науч. тр. – Пятигорск, 2010. – С. 553–561. </w:t>
      </w:r>
    </w:p>
    <w:p w14:paraId="69AA5798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zh-CN" w:bidi="hi-IN"/>
          <w14:ligatures w14:val="none"/>
        </w:rPr>
      </w:pPr>
    </w:p>
    <w:p w14:paraId="46EF4B58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zh-CN" w:bidi="hi-IN"/>
          <w14:ligatures w14:val="none"/>
        </w:rPr>
      </w:pPr>
      <w:r w:rsidRPr="00A45E84">
        <w:rPr>
          <w:rFonts w:ascii="Times New Roman" w:eastAsia="Calibri" w:hAnsi="Times New Roman" w:cs="Times New Roman"/>
          <w:b/>
          <w:sz w:val="24"/>
          <w:szCs w:val="24"/>
          <w:u w:val="single"/>
          <w:lang w:eastAsia="zh-CN" w:bidi="hi-IN"/>
          <w14:ligatures w14:val="none"/>
        </w:rPr>
        <w:t>Пример оформления аннотации</w:t>
      </w:r>
    </w:p>
    <w:p w14:paraId="652A42BD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zh-CN" w:bidi="hi-IN"/>
          <w14:ligatures w14:val="none"/>
        </w:rPr>
      </w:pPr>
    </w:p>
    <w:p w14:paraId="214F2959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hi-IN"/>
          <w14:ligatures w14:val="none"/>
        </w:rPr>
        <w:t>Иванова Т.П. Проблемы перевода технических текстов компьютерной тематики</w:t>
      </w:r>
    </w:p>
    <w:p w14:paraId="74F20941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>В данной статье рассмотрены проблемы перевода научно-технических компьютерных текстов. Анализ иллюстрационного материала показал самые употребительные способы перевода терминов в сфере кибернетики и информационных технологий. Статья дает характеристику современного состояния терминологической системы указанной области знаний.</w:t>
      </w:r>
    </w:p>
    <w:p w14:paraId="0459FF39" w14:textId="77777777" w:rsidR="00A45E84" w:rsidRPr="00A45E84" w:rsidRDefault="00A45E84" w:rsidP="00A45E84">
      <w:pPr>
        <w:tabs>
          <w:tab w:val="left" w:pos="709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</w:pPr>
      <w:r w:rsidRPr="00A45E84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 w:bidi="hi-IN"/>
          <w14:ligatures w14:val="none"/>
        </w:rPr>
        <w:t>Ключевые слова</w:t>
      </w:r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 xml:space="preserve">: профессиональный язык, транслитерация, </w:t>
      </w:r>
      <w:proofErr w:type="gramStart"/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>адаптивное</w:t>
      </w:r>
      <w:proofErr w:type="gramEnd"/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>транскодирование</w:t>
      </w:r>
      <w:proofErr w:type="spellEnd"/>
      <w:r w:rsidRPr="00A45E8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hi-IN"/>
          <w14:ligatures w14:val="none"/>
        </w:rPr>
        <w:t>, описательный перевод, акроним.</w:t>
      </w:r>
    </w:p>
    <w:p w14:paraId="0BA0E3E2" w14:textId="77777777" w:rsidR="00A45E84" w:rsidRPr="00A45E84" w:rsidRDefault="00A45E84" w:rsidP="00A45E84">
      <w:pPr>
        <w:suppressAutoHyphens/>
        <w:spacing w:after="0" w:line="240" w:lineRule="auto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Liberation Serif" w:eastAsia="NSimSun" w:hAnsi="Liberation Serif" w:cs="Lucida Sans"/>
          <w:sz w:val="24"/>
          <w:szCs w:val="24"/>
          <w:lang w:eastAsia="zh-CN" w:bidi="hi-IN"/>
          <w14:ligatures w14:val="none"/>
        </w:rPr>
        <w:br w:type="page"/>
      </w:r>
    </w:p>
    <w:p w14:paraId="36531517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lastRenderedPageBreak/>
        <w:t xml:space="preserve">Один автор: </w:t>
      </w:r>
    </w:p>
    <w:p w14:paraId="2C5CF1D7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Сычев, М. С. История казачества. История Астраханского казачьего войска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учебное пособие / М. С. Сычев. – Астрахань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Волга, 2009. – 231 с. </w:t>
      </w:r>
    </w:p>
    <w:p w14:paraId="04B6A0D2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Гайдаенко, Т. А. Маркетинговое управление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принципы управленческих решений и российская практика / Т. А. Гайдаенко. – 3-е изд.,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перераб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и доп. – Москва :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Эксмо</w:t>
      </w:r>
      <w:proofErr w:type="spellEnd"/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МИРБИС, 2008. – 508, [1] с. : ил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., 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табл.</w:t>
      </w:r>
    </w:p>
    <w:p w14:paraId="6D44585A" w14:textId="77777777" w:rsidR="00A45E84" w:rsidRPr="00A45E84" w:rsidRDefault="00A45E84" w:rsidP="00A45E84">
      <w:pPr>
        <w:suppressAutoHyphens/>
        <w:spacing w:after="0" w:line="240" w:lineRule="auto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71FE5A25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>Два автора:</w:t>
      </w:r>
    </w:p>
    <w:p w14:paraId="45D53B8C" w14:textId="77777777" w:rsidR="00A45E84" w:rsidRPr="00A45E84" w:rsidRDefault="00A45E84" w:rsidP="00A45E84">
      <w:pPr>
        <w:tabs>
          <w:tab w:val="left" w:pos="700"/>
        </w:tabs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Рыженков, В. А. Медицинская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конфликтология</w:t>
      </w:r>
      <w:proofErr w:type="spellEnd"/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учебное пособие /В. А. Рыженков, Я. А. Чернева. – Белгород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Белгородский государственный университет, 2011. – 143 с. </w:t>
      </w:r>
    </w:p>
    <w:p w14:paraId="205A3850" w14:textId="77777777" w:rsidR="00A45E84" w:rsidRPr="00A45E84" w:rsidRDefault="00A45E84" w:rsidP="00A45E84">
      <w:pPr>
        <w:tabs>
          <w:tab w:val="left" w:pos="700"/>
        </w:tabs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Степанов, Е. Н. Педагогу о современных подходах и концепциях воспитания / Е. Н. Степанов, Л. М. Лузина. – 2-е изд.,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перераб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и доп. – Москва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Сфера, 2008. – 220, [1] с. : ил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., 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табл. </w:t>
      </w:r>
    </w:p>
    <w:p w14:paraId="402F0F5B" w14:textId="77777777" w:rsidR="00A45E84" w:rsidRPr="00A45E84" w:rsidRDefault="00A45E84" w:rsidP="00A45E84">
      <w:pPr>
        <w:tabs>
          <w:tab w:val="left" w:pos="700"/>
        </w:tabs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Соколов, А. Н. Гражданское общество: проблемы формирования и развития (философский и юридический аспекты)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монография / А. Н. Соколов, К. С.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Сердобинцев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 ; под общей редакцией В. М.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Бочарова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; Министерство внутренних дел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Росссийской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Федерации, Калининградский юридический университет. – Калининград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Калинингр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 ЮИ МВД России, 2009. – 218 с. </w:t>
      </w:r>
    </w:p>
    <w:p w14:paraId="686CFC09" w14:textId="77777777" w:rsidR="00A45E84" w:rsidRPr="00A45E84" w:rsidRDefault="00A45E84" w:rsidP="00A45E84">
      <w:pPr>
        <w:suppressAutoHyphens/>
        <w:spacing w:after="0" w:line="240" w:lineRule="auto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380DC747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>Три автора:</w:t>
      </w: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</w:p>
    <w:p w14:paraId="03A2B8C0" w14:textId="77777777" w:rsidR="00A45E84" w:rsidRPr="00A45E84" w:rsidRDefault="00A45E84" w:rsidP="00A45E84">
      <w:pPr>
        <w:tabs>
          <w:tab w:val="left" w:pos="710"/>
        </w:tabs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Борозда, И. В. Лечение сочетанных повреждений таза / И. В. Борозда, Н. И. Воронин, А. В.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Бушманов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– Владивосток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Дальнаука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2009. – 195 с. </w:t>
      </w:r>
    </w:p>
    <w:p w14:paraId="14965BF2" w14:textId="77777777" w:rsidR="00A45E84" w:rsidRPr="00A45E84" w:rsidRDefault="00A45E84" w:rsidP="00A45E84">
      <w:pPr>
        <w:tabs>
          <w:tab w:val="left" w:pos="710"/>
        </w:tabs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Куташов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В. А. Общая и медицинская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конфликтология</w:t>
      </w:r>
      <w:proofErr w:type="spellEnd"/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практ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руководство / В. А.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Куташов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В. А.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Кунин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, А. С. Самсонов ; Воронежская государственная медицинская академия им. И. Н. Бурденко Министерства здравоохранения Российской Федерации. – Воронеж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Изд-во ВГМА, 2015. – 239 с. : ил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., 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табл. </w:t>
      </w:r>
    </w:p>
    <w:p w14:paraId="6751FD3F" w14:textId="77777777" w:rsidR="00A45E84" w:rsidRPr="00A45E84" w:rsidRDefault="00A45E84" w:rsidP="00A45E84">
      <w:pPr>
        <w:suppressAutoHyphens/>
        <w:spacing w:after="0" w:line="240" w:lineRule="auto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4F6D4BC7" w14:textId="77777777" w:rsidR="00A45E84" w:rsidRPr="00A45E84" w:rsidRDefault="00A45E84" w:rsidP="00A45E84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>Библиографическое описание под заглавием</w:t>
      </w:r>
    </w:p>
    <w:p w14:paraId="2F00EEBB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>Четыре автора:</w:t>
      </w: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</w:p>
    <w:p w14:paraId="51D342D1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Маркетинговые исследования в строительстве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учебное пособие для студентов специальности «Менеджмент организации» – 080507 специализации «Управление бизнесом в строительстве» / О. В.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Михненков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И. З.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Коготкова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Е. В. Генкин, Г. Я.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Сороко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 ; Федеральное агентство по образованию, Государственное образовательное учреждение высшего профессионального образования «Государственный университет управления», Институт бизнеса в строительстве и управлении проектом. – Москва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Государственный университет управления, 2005. – 59 с. </w:t>
      </w:r>
    </w:p>
    <w:p w14:paraId="30B71F52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Пять авторов: </w:t>
      </w:r>
    </w:p>
    <w:p w14:paraId="7C396CFE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Философия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опыт самоопределения : учебное пособие / М. Е. Перфильева, Г. А. Алексеева, С. М. Меньшикова [и др.]. – Санкт-Петербург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Питер, 1996. – 194 с.</w:t>
      </w:r>
    </w:p>
    <w:p w14:paraId="4217552B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142B2711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Описание книги под заглавием: </w:t>
      </w:r>
    </w:p>
    <w:p w14:paraId="568685D9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Управление бизнесом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сборник статей / Федеральное агентство по образованию, Нижегородский государственный университет им. Н. И. Лобачевского ; [редколлегия: 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Н. А.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Шерегов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(отв. ред.) и др.].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– Нижний Новгород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Издательство Нижегородского государственного университета, 2009. – 243 с. </w:t>
      </w:r>
    </w:p>
    <w:p w14:paraId="01C9CB6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Культурология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учебное пособие для студентов вузов / под редакцией А. И. Марковой. – 3-е изд. – Москва : ЮНИТИ-ДАНА, 2000. – 315 с. </w:t>
      </w:r>
    </w:p>
    <w:p w14:paraId="358CBB4E" w14:textId="77777777" w:rsidR="00A45E84" w:rsidRPr="00A45E84" w:rsidRDefault="00A45E84" w:rsidP="00A45E84">
      <w:pPr>
        <w:suppressAutoHyphens/>
        <w:spacing w:after="0" w:line="240" w:lineRule="auto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72FA8277" w14:textId="77777777" w:rsidR="00A45E84" w:rsidRPr="00A45E84" w:rsidRDefault="00A45E84" w:rsidP="00A45E84">
      <w:pPr>
        <w:suppressAutoHyphens/>
        <w:spacing w:after="0" w:line="240" w:lineRule="auto"/>
        <w:ind w:firstLine="737"/>
        <w:jc w:val="center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Библиографическое описание на отдельный том </w:t>
      </w:r>
    </w:p>
    <w:p w14:paraId="0F6C0BFD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Лермонтов, М. Ю. Собрание сочинений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в 4 т. / Михаил Юрьевич Лермонтов ; [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коммент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И. Андроникова].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– Москва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Терра-Книжный клуб, 2009. – Т. 4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Проза. Письма. – 2009. – 511 [1], [6]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цв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ил. </w:t>
      </w:r>
    </w:p>
    <w:p w14:paraId="3F14AD05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173E76EE" w14:textId="77777777" w:rsidR="00A45E84" w:rsidRPr="00A45E84" w:rsidRDefault="00A45E84" w:rsidP="00A45E84">
      <w:pPr>
        <w:suppressAutoHyphens/>
        <w:spacing w:after="0" w:line="240" w:lineRule="auto"/>
        <w:ind w:firstLine="737"/>
        <w:jc w:val="center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Статьи </w:t>
      </w:r>
    </w:p>
    <w:p w14:paraId="52654155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Из журнала </w:t>
      </w:r>
    </w:p>
    <w:p w14:paraId="11882E8D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Берестова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Т. Ф. Поисковые инструменты библиотеки / Т. Ф.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Берестова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// Библиография. – 2006. – № 6 (347). – С. 18–30. </w:t>
      </w:r>
    </w:p>
    <w:p w14:paraId="306E9471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Абасов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, З. А. Жизненный цикл педагогических инноваций / З. А.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Абасов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// Инновации в образовании. – 2007. – № 8. – С. 13–20. </w:t>
      </w:r>
    </w:p>
    <w:p w14:paraId="1D4175E4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Болотов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В. А.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Компетентностная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модель: от идеи к образовательной программе / В. А.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Болотов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В. В. Сериков // Педагогика. – 2003. – № 10. – С. 8–14. </w:t>
      </w:r>
    </w:p>
    <w:p w14:paraId="73546033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Из газеты </w:t>
      </w:r>
    </w:p>
    <w:p w14:paraId="06FB837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Хохрякова, С. Просто жить: итоги кинофестиваля «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Сталкер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» / С. Хохрякова // Культура. – 2010. – 23 дек. – С. 8. </w:t>
      </w:r>
    </w:p>
    <w:p w14:paraId="79EEEDF3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i/>
          <w:i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i/>
          <w:iCs/>
          <w:sz w:val="24"/>
          <w:szCs w:val="24"/>
          <w:lang w:eastAsia="zh-CN" w:bidi="hi-IN"/>
          <w14:ligatures w14:val="none"/>
        </w:rPr>
        <w:t xml:space="preserve">Указываются страницы, на которых помещена составная часть (кроме газет объемом восемь и менее страниц). </w:t>
      </w:r>
    </w:p>
    <w:p w14:paraId="5E2B8A4C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i/>
          <w:i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i/>
          <w:iCs/>
          <w:sz w:val="24"/>
          <w:szCs w:val="24"/>
          <w:lang w:eastAsia="zh-CN" w:bidi="hi-IN"/>
          <w14:ligatures w14:val="none"/>
        </w:rPr>
        <w:t xml:space="preserve">Пример: </w:t>
      </w:r>
    </w:p>
    <w:p w14:paraId="47656BBD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Кригер, И. Бумага терпит / И. Кригер // Новая газета. – 2009. – 1 июля. </w:t>
      </w:r>
    </w:p>
    <w:p w14:paraId="18E2FB3E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56CD3B3C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Из продолжающихся изданий </w:t>
      </w:r>
    </w:p>
    <w:p w14:paraId="1A66521A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Байденко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В. И. Компетенции в профессиональном образовании (к освоению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компетентностного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подхода) / В. И.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Байденко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// Высшее образование в России. – 2004. – № 11. – С. 3–13. </w:t>
      </w:r>
    </w:p>
    <w:p w14:paraId="62687919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Артеменко, О. Н. Креативная образовательная среда как перспективное развитие педагогической прогностики / О. А. Артеменко // Вестник педагогических инноваций. – 2011. – № 1 (25). – С. 7–17. </w:t>
      </w:r>
    </w:p>
    <w:p w14:paraId="5CFAA320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Абдалина, Л. В. Инновационная компетенция педагога: условия формирования в процессе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внутришкольного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повышения квалификации / Л. В. Абдалина, О. С. Фролова // Известия Волгоградского государственного педагогического университета. – 2017. – № 4 (117). – С. 47–50. </w:t>
      </w:r>
    </w:p>
    <w:p w14:paraId="1650E3CF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Булатова, Т. А. Социальная тревожность в контексте психологических защит / А. Т. Булатова, Е. И. Черных // Вестник Томского государственного педагогического университета. – 2010. –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Вып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2 (92). – С. 107–113. </w:t>
      </w:r>
    </w:p>
    <w:p w14:paraId="3840463B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Бичева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И. Б. Развитие педагогического творчества будущего педагога / И. Б.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Бичева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С. В. Десятова, И. А. Царева // Профессиональное образование в России и за рубежом. – 2017. – № 1 (25). – С. 73–77. </w:t>
      </w:r>
    </w:p>
    <w:p w14:paraId="14D30A98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Байгильдина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З. Ф. Творческий потенциал личности / З. Ф.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Байгильдина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// Вестник Башкирского университета. – 2008. – Т. 13, № 3. – С. 693–696. </w:t>
      </w:r>
    </w:p>
    <w:p w14:paraId="7F4A35CB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Бондарь, М. А. Творческая активность школьников в детской общественной организации / М. А. Бондарь // Научные ведомости Белгородского государственного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университетата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Серия: Гуманитарные науки. – 2016. – № 21 (242),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вып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31. – С. 168–172. </w:t>
      </w:r>
    </w:p>
    <w:p w14:paraId="5CFE9F03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2F271014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Отдельные произведения из многотомного издания, отдельные главы и разделы из документов </w:t>
      </w:r>
    </w:p>
    <w:p w14:paraId="08A0AEE1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Лотман, Ю. М. Отзвуки концепции «Москва – третий Рим» в идеологии Петра I / Ю. М. Лотман, Б. А. Успенский // Избранные статьи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в 3 т. / Ю. М. Лотман. –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Таллин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1992. – Т. 2. – С. 9–21. </w:t>
      </w:r>
    </w:p>
    <w:p w14:paraId="1761988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Субетто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А. И.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Ноосферное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или Неклассическое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человековедение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: поиск оснований / А. И.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Субетто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//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Ноосферизм</w:t>
      </w:r>
      <w:proofErr w:type="spellEnd"/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сочинения : в 13 т. : к 70-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летию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автора / А. И.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Субетто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; под ред. Л. А.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Зеленова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– Санкт-Петербург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;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Кострома, 2006. – Т. 4, кн. 2. – С. 563–998 : ил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., </w:t>
      </w:r>
      <w:proofErr w:type="spellStart"/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портр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</w:t>
      </w:r>
    </w:p>
    <w:p w14:paraId="16251BA8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Локк Дж. Опыт о веротерпимости / Дж. Локк // Собрание сочинений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в 3 т. – Москва, 1985. – Т. 3. – С. 66–90.</w:t>
      </w:r>
    </w:p>
    <w:p w14:paraId="28A2C0BE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lastRenderedPageBreak/>
        <w:t xml:space="preserve"> Зимняя, И. А. Ретроспективный психологический анализ / И. А. Зимняя // Педагогическая психология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[учебник для вузов] / И. А. Зимняя. – Изд. 2-е, доп.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испр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и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перераб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– Москва, 2003. – Гл. 4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Психологический анализ урока (занятия) как единство проективно-рефлексивных умений, § 3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Схема психологического анализа урока. – С. 296–297. </w:t>
      </w:r>
    </w:p>
    <w:p w14:paraId="06C90228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Гоббс, Т. О естественном законе относительно договоров / Томас Гоббс // Избранные произведения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в 2 т. – Москва, 1965. – Т. 1, разд. 1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Свобода, гл. 2. – С. 309–322. </w:t>
      </w:r>
    </w:p>
    <w:p w14:paraId="686476CB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712E47C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Из энциклопедии, словаря </w:t>
      </w:r>
    </w:p>
    <w:p w14:paraId="178464B4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Древний Египет // Большая историческая энциклопедия / научный редактор С. В. Новиков. – Москва, 2004. – С. 360–362. Интуиция // Словарь психолога-практика / С. Ю. Головин. – Минск, 2003. – С. 260–261. </w:t>
      </w:r>
    </w:p>
    <w:p w14:paraId="4D1804E9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2D814F57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Из сборника </w:t>
      </w:r>
    </w:p>
    <w:p w14:paraId="54CD774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Двиянинова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, Г. С. Комплимент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коммуникативный статус или стратегия в дискурсе / Г. С.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Двиянинова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// Социальная власть языка : сборник научных трудов / Воронежский межрегиональный институт общественных наук, Воронежский государственный университет. – Воронеж, 2001. – С. 101–106.</w:t>
      </w:r>
    </w:p>
    <w:p w14:paraId="69659AE2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Артамонова, Е. И. Мировые тенденции в подготовке педагогических кадров / Е. И. Артамонова // Психологические практики в российском образовании: инновационный ракурс, Армавир, 23 ноября. – 23 декабря 2017 г.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материалы Международной юбилейной интернет-конференции : 100-летию со дня рождения В. А.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Крутецкого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 [редколлегия: И. В. Дубровина, С. В.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Недбаева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, О. П. Синельникова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;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ответственный редактор С. В.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Недбаева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]. – Армавир, 2018. – С. 235–245. </w:t>
      </w:r>
    </w:p>
    <w:p w14:paraId="79F3C3DD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Богуш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, В. А. Цифровая трансформация высшего образования / В. А.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Богуш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// Цифровая трансформация образования : тезисы докладов 1-й научно-практической конференции, Минск, 30 мая 2018 г. / Министерство образования Республики Беларусь, ГИАЦ Минобразования ; редколлегия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.: 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В. А.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Богуш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[и др.]. – Минск, 2018. – С. 450–453. </w:t>
      </w:r>
    </w:p>
    <w:p w14:paraId="17ADE77B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Брындин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Е. Г. Креативное инновационное высшее образование /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Брындин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Е. Г. // Россия: тенденции и перспективы развития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ежегодник /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Росссийская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акададемия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наук, Институт научной информации по общественным наукам [и др.] ; [отв. ред. В. И. Герасимов]. – Москва, 2018. – С. 797–802. </w:t>
      </w:r>
    </w:p>
    <w:p w14:paraId="05960645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Стеценко, И. А.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Компетентностный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подход как инновационный процесс в системе образования / Стеценко Ирина Александровна,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Занкова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Екатерина Юрьевна // Педагогические и психологические науки: актуальные вопросы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XXI Международная заочная научно-практическая конференция (31 октября 2012 г.)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в 2 ч. / Сибирская ассоциация консультантов. – Новосибирск, 2012. – Ч. 1. – С. 79–86. </w:t>
      </w:r>
    </w:p>
    <w:p w14:paraId="677B3B7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Тарасова, О. И. Каноны и парадигмы образования / Тарасова Ольга Игоревна // Образование в современном мире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сборник научных статей / Саратовский государственный университет им. Н. Г. Чернышевского, Институт дополнительного профессионального образования ; [под редакцией Ю. Г. Голуба]. – Саратов, 2019. –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Вып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14. – С. 177–184. </w:t>
      </w:r>
    </w:p>
    <w:p w14:paraId="7DA5191F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41C1B2BF" w14:textId="77777777" w:rsidR="00A45E84" w:rsidRPr="00A45E84" w:rsidRDefault="00A45E84" w:rsidP="00A45E84">
      <w:pPr>
        <w:suppressAutoHyphens/>
        <w:spacing w:after="0" w:line="240" w:lineRule="auto"/>
        <w:ind w:firstLine="737"/>
        <w:jc w:val="center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Диссертация и автореферат диссертации </w:t>
      </w:r>
    </w:p>
    <w:p w14:paraId="3EF32639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Диссертации </w:t>
      </w:r>
    </w:p>
    <w:p w14:paraId="110E3493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Бекешева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И. С. Формирование креативной компетентности будущих бакалавров-учителей в процессе обучения математике на основе специального комплекса заданий : спец. 13.00.02 «Теория и методика обучения и воспитания (математика)» :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дис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на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соиск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учен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теп. канд.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пед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наук /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Бекешева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Ирина Сергеевна ;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Хакаский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государственный университет. им. Н. Ф. Катанова. – Абакан, 2017. – 250 с. </w:t>
      </w:r>
    </w:p>
    <w:p w14:paraId="6903930A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Моисеева, Н. Н. Формирование психологической готовности будущего учителя к субъект-субъектному взаимодействию : спец. 19.00.07 «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Пед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психология» :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дис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на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соиск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</w:t>
      </w: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lastRenderedPageBreak/>
        <w:t>учен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теп. канд. психол. наук / Моисеева Наталия Николаевна ; Башкирский государственный педагогический университет им. М. 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Акмуллы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– Уфа, 2007. – 218 с. </w:t>
      </w:r>
    </w:p>
    <w:p w14:paraId="492CC3D8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Авторефераты </w:t>
      </w:r>
    </w:p>
    <w:p w14:paraId="55620DCF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Воробьев, В. В. Государственная служба: проблемы становления и развития : спец. 22.00.05 «Полит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оциология» :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автореф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дис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на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соиск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учен. степ. д-ра полит. наук / Воробьев Владимир Владимирович ; Институт социально-политических исследований РАН. – Москва, 1999. – 47 с.</w:t>
      </w:r>
    </w:p>
    <w:p w14:paraId="2DB89DF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Балахонов, А. В.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Фундаментализация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высшего медицинского образования на основе системного естественнонаучного знания : спец. 13.00.08 «Теория и методика проф. образования» :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автореф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дис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на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соиск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учен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с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теп. д-ра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пед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наук / Балахонов Алексей Викторович ; Ленинградский государственный университет им. А. С. Пушкина. – Санкт-Петербург, 2007. – 51 с.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ил. </w:t>
      </w:r>
    </w:p>
    <w:p w14:paraId="1E909F17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Liberation Serif" w:eastAsia="NSimSun" w:hAnsi="Liberation Serif" w:cs="Lucida Sans" w:hint="eastAsia"/>
          <w:sz w:val="24"/>
          <w:szCs w:val="24"/>
          <w:lang w:eastAsia="zh-CN" w:bidi="hi-IN"/>
          <w14:ligatures w14:val="none"/>
        </w:rPr>
      </w:pPr>
    </w:p>
    <w:p w14:paraId="2D33FC17" w14:textId="77777777" w:rsidR="00A45E84" w:rsidRPr="00A45E84" w:rsidRDefault="00A45E84" w:rsidP="00A45E84">
      <w:pPr>
        <w:suppressAutoHyphens/>
        <w:spacing w:after="0" w:line="240" w:lineRule="auto"/>
        <w:ind w:firstLine="737"/>
        <w:jc w:val="center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Описание ресурсов удалённого доступа </w:t>
      </w:r>
    </w:p>
    <w:p w14:paraId="3E5AC3D0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Сайты в сети «Интернет» </w:t>
      </w:r>
    </w:p>
    <w:p w14:paraId="3B16EB03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Правительство Российской Федерации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официальный сайт. – Москва. – Обновляется в течение суток. – URL: http://government.ru (дата обращения: 19.02.2018). – Текст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электронный. </w:t>
      </w:r>
    </w:p>
    <w:p w14:paraId="7942B3DE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eLIBRARY.RU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научная электронная библиотека : сайт. – Москва, 2000. – URL: https://elibrary.ru (дата обращения: 09.01.2018). – Режим доступа: для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зарегистрир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. пользователей. – Текст: электронный. </w:t>
      </w:r>
    </w:p>
    <w:p w14:paraId="0EFB4D6D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Составная часть электронном </w:t>
      </w:r>
      <w:proofErr w:type="gramStart"/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>ресурсе</w:t>
      </w:r>
      <w:proofErr w:type="gramEnd"/>
      <w:r w:rsidRPr="00A45E84"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  <w:t xml:space="preserve"> сетевого распространения</w:t>
      </w:r>
    </w:p>
    <w:p w14:paraId="59D61926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Яницкий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, М. С. Ценностная детерминация инновационного поведения молодежи в контексте культурно-средовых различий / М. С. </w:t>
      </w:r>
      <w:proofErr w:type="spell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Яницкий</w:t>
      </w:r>
      <w:proofErr w:type="spell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. – Текст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электронный // Сибирский психологический журнал. – 2009. – № 34. – С. 26–37. – URL: https://elibrary.ru/item.asp?id=13024552 (дата обращения: 29.05.2018).</w:t>
      </w:r>
    </w:p>
    <w:p w14:paraId="058FBCBF" w14:textId="77777777" w:rsidR="00A45E84" w:rsidRPr="00A45E84" w:rsidRDefault="00A45E84" w:rsidP="00A45E84">
      <w:pPr>
        <w:suppressAutoHyphens/>
        <w:spacing w:after="0" w:line="240" w:lineRule="auto"/>
        <w:ind w:firstLine="737"/>
        <w:jc w:val="both"/>
        <w:rPr>
          <w:rFonts w:ascii="Times New Roman" w:eastAsia="NSimSun" w:hAnsi="Times New Roman" w:cs="Lucida Sans"/>
          <w:b/>
          <w:bCs/>
          <w:sz w:val="24"/>
          <w:szCs w:val="24"/>
          <w:lang w:eastAsia="zh-CN" w:bidi="hi-IN"/>
          <w14:ligatures w14:val="none"/>
        </w:rPr>
      </w:pPr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>Любимова, А. «Эдуард Зеленин. Возвращение на Родину» / Анна Любимова. – Текст</w:t>
      </w:r>
      <w:proofErr w:type="gramStart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:</w:t>
      </w:r>
      <w:proofErr w:type="gramEnd"/>
      <w:r w:rsidRPr="00A45E84">
        <w:rPr>
          <w:rFonts w:ascii="Times New Roman" w:eastAsia="NSimSun" w:hAnsi="Times New Roman" w:cs="Lucida Sans"/>
          <w:sz w:val="24"/>
          <w:szCs w:val="24"/>
          <w:lang w:eastAsia="zh-CN" w:bidi="hi-IN"/>
          <w14:ligatures w14:val="none"/>
        </w:rPr>
        <w:t xml:space="preserve"> электронный // Кузнецкий рабочий : [сайт газеты]. – 2018. – 17 августа. – URL: http://www.kuzrab.ru/rubriki/kultura/eduard-zeleninvozvrashchenie-na-rodinu/ (дата публикации: 17.08.2018). </w:t>
      </w:r>
    </w:p>
    <w:p w14:paraId="76489B1D" w14:textId="77777777" w:rsidR="00A45E84" w:rsidRPr="00A45E84" w:rsidRDefault="00A45E84" w:rsidP="00A45E8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hi-IN"/>
          <w14:ligatures w14:val="none"/>
        </w:rPr>
      </w:pPr>
    </w:p>
    <w:p w14:paraId="46B718ED" w14:textId="77777777" w:rsidR="004B0654" w:rsidRDefault="004B0654"/>
    <w:sectPr w:rsidR="004B0654" w:rsidSect="00A45E84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等线 Light">
    <w:panose1 w:val="00000000000000000000"/>
    <w:charset w:val="8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等线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E84"/>
    <w:rsid w:val="004B0654"/>
    <w:rsid w:val="006B1FEF"/>
    <w:rsid w:val="0081742D"/>
    <w:rsid w:val="00A45E84"/>
    <w:rsid w:val="00E64A39"/>
    <w:rsid w:val="00F61B36"/>
    <w:rsid w:val="00F73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678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5E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E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5E8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5E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5E8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5E8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5E8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5E8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5E8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5E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45E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45E8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45E8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45E8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45E8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45E8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45E8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45E8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45E8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A45E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5E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45E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45E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45E8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45E8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45E8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45E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45E8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45E84"/>
    <w:rPr>
      <w:b/>
      <w:bCs/>
      <w:smallCaps/>
      <w:color w:val="2F5496" w:themeColor="accent1" w:themeShade="BF"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5E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E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5E8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5E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5E8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5E8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5E8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5E8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5E8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5E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45E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45E8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45E8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45E8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45E8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45E8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45E8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45E8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45E8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A45E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5E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45E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45E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45E8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45E8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45E8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45E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45E8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45E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f_rgf@b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lib.lgpu.org%2Fdownload%2FBO.pdf&amp;cc_key=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2516</Words>
  <Characters>14344</Characters>
  <Application>Microsoft Office Word</Application>
  <DocSecurity>0</DocSecurity>
  <Lines>119</Lines>
  <Paragraphs>33</Paragraphs>
  <ScaleCrop>false</ScaleCrop>
  <Company/>
  <LinksUpToDate>false</LinksUpToDate>
  <CharactersWithSpaces>16827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Хадаева Алёна</dc:creator>
  <cp:keywords/>
  <dc:description/>
  <cp:lastModifiedBy>Пользователь</cp:lastModifiedBy>
  <cp:revision>3</cp:revision>
  <dcterms:created xsi:type="dcterms:W3CDTF">2025-01-22T18:17:00Z</dcterms:created>
  <dcterms:modified xsi:type="dcterms:W3CDTF">2025-03-06T11:19:00Z</dcterms:modified>
</cp:coreProperties>
</file>